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CF" w:rsidRDefault="00312BCF" w:rsidP="00F80CBA">
      <w:pPr>
        <w:pStyle w:val="3-NormalYaz"/>
        <w:spacing w:line="240" w:lineRule="exact"/>
        <w:ind w:firstLine="566"/>
        <w:rPr>
          <w:rFonts w:hAnsi="Times New Roman"/>
          <w:b/>
          <w:sz w:val="18"/>
          <w:szCs w:val="18"/>
        </w:rPr>
      </w:pPr>
      <w:r w:rsidRPr="00312BCF">
        <w:rPr>
          <w:rFonts w:hAnsi="Times New Roman"/>
          <w:b/>
          <w:sz w:val="18"/>
          <w:szCs w:val="18"/>
        </w:rPr>
        <w:t>Kalkınma Ajansları Proje ve Faaliyet Destekleme Yönetmeliği</w:t>
      </w:r>
      <w:r>
        <w:rPr>
          <w:rFonts w:hAnsi="Times New Roman"/>
          <w:b/>
          <w:sz w:val="18"/>
          <w:szCs w:val="18"/>
        </w:rPr>
        <w:t xml:space="preserve"> Madde 28’e göre Güdümlü Proje Destekleri</w:t>
      </w:r>
    </w:p>
    <w:p w:rsidR="00312BCF" w:rsidRDefault="00312BCF" w:rsidP="00F80CBA">
      <w:pPr>
        <w:pStyle w:val="3-NormalYaz"/>
        <w:spacing w:line="240" w:lineRule="exact"/>
        <w:ind w:firstLine="566"/>
        <w:rPr>
          <w:rFonts w:hAnsi="Times New Roman"/>
          <w:b/>
          <w:sz w:val="18"/>
          <w:szCs w:val="18"/>
        </w:rPr>
      </w:pPr>
    </w:p>
    <w:p w:rsidR="00F80CBA" w:rsidRDefault="007B016E" w:rsidP="00F80CBA">
      <w:pPr>
        <w:pStyle w:val="3-NormalYaz"/>
        <w:spacing w:line="240" w:lineRule="exact"/>
        <w:ind w:firstLine="566"/>
        <w:rPr>
          <w:rFonts w:hAnsi="Times New Roman"/>
          <w:sz w:val="18"/>
          <w:szCs w:val="18"/>
        </w:rPr>
      </w:pPr>
      <w:r>
        <w:rPr>
          <w:rFonts w:hAnsi="Times New Roman"/>
          <w:b/>
          <w:sz w:val="18"/>
          <w:szCs w:val="18"/>
        </w:rPr>
        <w:t xml:space="preserve"> </w:t>
      </w:r>
      <w:r w:rsidR="00F80CBA">
        <w:rPr>
          <w:rFonts w:hAnsi="Times New Roman"/>
          <w:b/>
          <w:sz w:val="18"/>
          <w:szCs w:val="18"/>
        </w:rPr>
        <w:t>“</w:t>
      </w:r>
      <w:r w:rsidR="00F80CBA">
        <w:rPr>
          <w:rFonts w:hAnsi="Times New Roman"/>
          <w:sz w:val="18"/>
          <w:szCs w:val="18"/>
        </w:rPr>
        <w:t>(1) Ajans, bölge planlarında veya saha çalışmaları sonucunda belirlenen öncelikli alanlarda, işletme modeli, ortaklık yapısı, mülkiyet durumu ve proje bedeli gibi hususları çalışma programında açıkça belirtmek ve Bakanlık tarafından belirlenecek proje bilgi formunu çalışma programına eklemek kaydıyla güdümlü projelere destek sağlayabilir.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(2) Güdümlü projeler, proje teklif çağrısı yöntemi uygulanmadan d</w:t>
      </w:r>
      <w:bookmarkStart w:id="0" w:name="_GoBack"/>
      <w:bookmarkEnd w:id="0"/>
      <w:r>
        <w:rPr>
          <w:rFonts w:hAnsi="Times New Roman"/>
          <w:sz w:val="18"/>
          <w:szCs w:val="18"/>
        </w:rPr>
        <w:t xml:space="preserve">oğrudan destek sağlamaya yönelik olarak; bölge planında öngörülen öncelikler doğrultusunda, konusu ve koşulları ajans öncülüğünde ve yönlendirmesinde belirlenen özel nitelikli model projelerdir. </w:t>
      </w:r>
      <w:proofErr w:type="gramStart"/>
      <w:r>
        <w:rPr>
          <w:rFonts w:hAnsi="Times New Roman"/>
          <w:sz w:val="18"/>
          <w:szCs w:val="18"/>
        </w:rPr>
        <w:t xml:space="preserve">Bu projelerde genel olarak özel sektör işletmeciliğini güçlendirecek şekilde, üretim ve ihracat kapasitesinin geliştirilmesi, iyi uygulama örneklerinin oluşturulması, </w:t>
      </w:r>
      <w:proofErr w:type="spellStart"/>
      <w:r>
        <w:rPr>
          <w:rFonts w:hAnsi="Times New Roman"/>
          <w:sz w:val="18"/>
          <w:szCs w:val="18"/>
        </w:rPr>
        <w:t>sektörel</w:t>
      </w:r>
      <w:proofErr w:type="spellEnd"/>
      <w:r>
        <w:rPr>
          <w:rFonts w:hAnsi="Times New Roman"/>
          <w:sz w:val="18"/>
          <w:szCs w:val="18"/>
        </w:rPr>
        <w:t xml:space="preserve"> çeşitlenmenin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duyacağı alanlarda insan kaynaklarının geliştirilmesi esastır.</w:t>
      </w:r>
      <w:proofErr w:type="gramEnd"/>
    </w:p>
    <w:p w:rsidR="00F80CBA" w:rsidRDefault="00F80CBA" w:rsidP="00F80CBA">
      <w:pPr>
        <w:pStyle w:val="3-NormalYaz"/>
        <w:spacing w:line="240" w:lineRule="exact"/>
        <w:ind w:firstLine="566"/>
        <w:rPr>
          <w:rFonts w:hAnsi="Times New Roman"/>
          <w:sz w:val="18"/>
          <w:szCs w:val="18"/>
        </w:rPr>
      </w:pPr>
      <w:r>
        <w:rPr>
          <w:rFonts w:hAnsi="Times New Roman"/>
          <w:sz w:val="18"/>
          <w:szCs w:val="18"/>
        </w:rPr>
        <w:t>(3) Ajans, ilk fikri oluşturma aşamasından itibaren genel çerçevesini ortaya koymuş olduğu projeyi uygulayacak muhtemel tarafları bir araya getirir. Bu projelerde üniversite, kamu kesimi, özel kesim ve sivil toplum kuruluşlarının ortaklıkları teşvik edilir.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(4) Güdümlü proje kapsamında aşağıda belirtilen niteliklere sahip projeler desteklenmez:</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a) Mahalli idarelerin kırsal altyapıya yönelik her türlü yatırımları ile münhasıran mahalli idareler tarafından rutin olarak gerçekleştirilen mahalli müşterek nitelikteki yol, içme suyu, kanalizasyon, arıtma, yağmur suyu, sağlık ocağı, kültür merkezi, spor tesisi, sosyal hizmet binaları gibi model veya yenilikçi niteliği haiz olmayan yapım işleri,</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b) Kamu yatırım programında yer alan projeler,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c) Teknoloji Geliştirme Bölgesi Yönetici Şirketi gibi belirli ölçüde kamu yararı gözetenler veya hâkim ortağı kamusal nitelikli kuruluşlar olan şirketler hariç olmak üzere sadece kâr amacı güden kuruluşların bulunduğu projeler,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ç) Uygulanmasında mülkiyet, izin, imar, ortaklık ve benzeri hukuki ve teknik engeller bulunan projeler.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(5) Ajans güdümlü projelerde toplam proje maliyetinin en fazla yüzde yetmiş beşi oranında mali destek sağlayabilir. Güdümlü projelerde proje ortaklarının da nakdi destek sağlamaları ve projenin sürdürülebilirliğini teminat altına alacak taahhütlerde bulunmaları esastır.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(6) Güdümlü projenin geliştirilmesi sürecinde ajansın koordinasyonunda muhtemel proje sahibi ve ortaklarınca Bakanlık tarafından belirlenen esaslara uygun olarak kesin projeye dayanan fizibilite raporu hazırlanır. Projenin fizibilite etüdüyle yapılabilirliği ortaya konduğu takdirde projeye ait iş planı, bütçe ve taahhütnameler gibi fizibiliteye esas teşkil eden diğer belgeler de fizibilite raporuyla birlikte Yönetim Kurulu onayına sunulur. Projenin Yönetim Kurulu tarafından onaylanması halinde projenin gerçekleştirilmesi için Ajans tarafından taahhüt edilen kaynak ajans bütçesinden tahsis edilir.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(7) Ajans tarafından sağlanacak mali destek miktarı Bakanlık tarafından gerektiğinde bölgeler bazında belirlenen limitin üzerinde olan projelere ait fizibilite raporu ve rapora esas teşkil eden diğer belgeler Yönetim Kurulu onayının ardından Kalkınma Bakanlığı onayına sunulur. Söz konusu belgeler Kalkınma Bakanlığı tarafından uygun görüldüğü takdirde projeye kaynak tahsis edilir.</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(8) Güdümlü proje desteğinin niteliği, usulü, esası ve destek miktarı ajansın yıllık çalışma programında belirlenir. Bu kapsamdaki projelere sağlanacak mali destekler ajansın yıllık gider bütçesinin yüzde yirmisini geçemez. Bu tür projelerin uygulama süresi iki yılı geçemez.</w:t>
      </w:r>
    </w:p>
    <w:p w:rsidR="00F80CBA" w:rsidRDefault="00F80CBA" w:rsidP="00F80CBA">
      <w:pPr>
        <w:pStyle w:val="3-NormalYaz"/>
        <w:spacing w:line="240" w:lineRule="exact"/>
        <w:ind w:firstLine="566"/>
        <w:rPr>
          <w:rFonts w:hAnsi="Times New Roman"/>
          <w:sz w:val="18"/>
          <w:szCs w:val="18"/>
        </w:rPr>
      </w:pPr>
      <w:r>
        <w:rPr>
          <w:rFonts w:hAnsi="Times New Roman"/>
          <w:sz w:val="18"/>
          <w:szCs w:val="18"/>
        </w:rPr>
        <w:t xml:space="preserve">(9) Desteğin yönetilme sürecine ilişkin olarak, 12 ilâ 27 </w:t>
      </w:r>
      <w:proofErr w:type="spellStart"/>
      <w:r>
        <w:rPr>
          <w:rFonts w:hAnsi="Times New Roman"/>
          <w:sz w:val="18"/>
          <w:szCs w:val="18"/>
        </w:rPr>
        <w:t>nci</w:t>
      </w:r>
      <w:proofErr w:type="spellEnd"/>
      <w:r>
        <w:rPr>
          <w:rFonts w:hAnsi="Times New Roman"/>
          <w:sz w:val="18"/>
          <w:szCs w:val="18"/>
        </w:rPr>
        <w:t xml:space="preserve"> maddelerde belirtilen hükümler, mahiyetine uygun düştüğü ölçüde, güdümlü proje desteği uygulamaları için de aynen uygulanır.”</w:t>
      </w:r>
    </w:p>
    <w:p w:rsidR="006E50DD" w:rsidRDefault="006E50DD"/>
    <w:sectPr w:rsidR="006E5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A"/>
    <w:rsid w:val="0029302C"/>
    <w:rsid w:val="00312BCF"/>
    <w:rsid w:val="00540AF6"/>
    <w:rsid w:val="006E50DD"/>
    <w:rsid w:val="007B016E"/>
    <w:rsid w:val="00F80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F80CBA"/>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F80CB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Bayezit</dc:creator>
  <cp:lastModifiedBy>Hakan SİPAHİOĞLU</cp:lastModifiedBy>
  <cp:revision>4</cp:revision>
  <dcterms:created xsi:type="dcterms:W3CDTF">2012-05-16T13:38:00Z</dcterms:created>
  <dcterms:modified xsi:type="dcterms:W3CDTF">2016-05-13T07:28:00Z</dcterms:modified>
</cp:coreProperties>
</file>