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D8F8C" w14:textId="5ADC4D98" w:rsidR="00CD5CE6" w:rsidRPr="007233E8" w:rsidRDefault="00B97DB5" w:rsidP="00CD5CE6">
      <w:pPr>
        <w:jc w:val="center"/>
        <w:rPr>
          <w:rFonts w:ascii="Times New Roman" w:hAnsi="Times New Roman" w:cs="Times New Roman"/>
          <w:b/>
          <w:bCs/>
          <w:sz w:val="28"/>
          <w:szCs w:val="28"/>
        </w:rPr>
      </w:pPr>
      <w:r w:rsidRPr="007233E8">
        <w:rPr>
          <w:rFonts w:ascii="Times New Roman" w:hAnsi="Times New Roman" w:cs="Times New Roman"/>
          <w:b/>
          <w:bCs/>
          <w:sz w:val="28"/>
          <w:szCs w:val="28"/>
        </w:rPr>
        <w:t>İSTANBUL KALKINMA AJANSI</w:t>
      </w:r>
    </w:p>
    <w:p w14:paraId="5099B15C" w14:textId="77777777" w:rsidR="00B97DB5" w:rsidRPr="007233E8" w:rsidRDefault="00B97DB5" w:rsidP="00CD5CE6">
      <w:pPr>
        <w:jc w:val="center"/>
        <w:rPr>
          <w:rFonts w:ascii="Times New Roman" w:hAnsi="Times New Roman" w:cs="Times New Roman"/>
          <w:b/>
          <w:bCs/>
          <w:sz w:val="28"/>
          <w:szCs w:val="28"/>
        </w:rPr>
      </w:pPr>
    </w:p>
    <w:p w14:paraId="08177734" w14:textId="06BC98B1" w:rsidR="00B97DB5" w:rsidRPr="007233E8" w:rsidRDefault="00B97DB5" w:rsidP="00B97DB5">
      <w:pPr>
        <w:jc w:val="center"/>
        <w:rPr>
          <w:rFonts w:ascii="Times New Roman" w:hAnsi="Times New Roman" w:cs="Times New Roman"/>
          <w:b/>
          <w:bCs/>
          <w:sz w:val="28"/>
          <w:szCs w:val="28"/>
        </w:rPr>
      </w:pPr>
      <w:r w:rsidRPr="007233E8">
        <w:rPr>
          <w:rFonts w:ascii="Times New Roman" w:hAnsi="Times New Roman" w:cs="Times New Roman"/>
          <w:b/>
          <w:bCs/>
          <w:sz w:val="28"/>
          <w:szCs w:val="28"/>
        </w:rPr>
        <w:t xml:space="preserve">2021 YILI BÖLGESEL GİRİŞİM SERMAYESİ </w:t>
      </w:r>
    </w:p>
    <w:p w14:paraId="0744CC67" w14:textId="3335FAE7" w:rsidR="00B97DB5" w:rsidRPr="007233E8" w:rsidRDefault="00B97DB5" w:rsidP="00B97DB5">
      <w:pPr>
        <w:jc w:val="center"/>
        <w:rPr>
          <w:rFonts w:ascii="Times New Roman" w:hAnsi="Times New Roman" w:cs="Times New Roman"/>
          <w:b/>
          <w:bCs/>
          <w:sz w:val="28"/>
          <w:szCs w:val="28"/>
        </w:rPr>
      </w:pPr>
      <w:r w:rsidRPr="007233E8">
        <w:rPr>
          <w:rFonts w:ascii="Times New Roman" w:hAnsi="Times New Roman" w:cs="Times New Roman"/>
          <w:b/>
          <w:bCs/>
          <w:sz w:val="28"/>
          <w:szCs w:val="28"/>
        </w:rPr>
        <w:t>MALİ DESTEK PROGRAMI</w:t>
      </w:r>
    </w:p>
    <w:p w14:paraId="38E739A6" w14:textId="77777777" w:rsidR="00B97DB5" w:rsidRPr="007233E8" w:rsidRDefault="00B97DB5" w:rsidP="00B97DB5">
      <w:pPr>
        <w:jc w:val="center"/>
        <w:rPr>
          <w:rFonts w:ascii="Times New Roman" w:hAnsi="Times New Roman" w:cs="Times New Roman"/>
          <w:b/>
          <w:bCs/>
          <w:sz w:val="28"/>
          <w:szCs w:val="28"/>
        </w:rPr>
      </w:pPr>
    </w:p>
    <w:p w14:paraId="73556254" w14:textId="1C41E1E6" w:rsidR="00CD5CE6" w:rsidRDefault="00B97DB5" w:rsidP="00CD5CE6">
      <w:pPr>
        <w:jc w:val="center"/>
        <w:rPr>
          <w:rFonts w:ascii="Times New Roman" w:hAnsi="Times New Roman" w:cs="Times New Roman"/>
          <w:b/>
          <w:bCs/>
          <w:sz w:val="28"/>
          <w:szCs w:val="28"/>
        </w:rPr>
      </w:pPr>
      <w:r w:rsidRPr="007233E8">
        <w:rPr>
          <w:rFonts w:ascii="Times New Roman" w:hAnsi="Times New Roman" w:cs="Times New Roman"/>
          <w:b/>
          <w:bCs/>
          <w:sz w:val="28"/>
          <w:szCs w:val="28"/>
        </w:rPr>
        <w:t>BAŞVURU REHBER</w:t>
      </w:r>
      <w:r w:rsidR="00324126" w:rsidRPr="007233E8">
        <w:rPr>
          <w:rFonts w:ascii="Times New Roman" w:hAnsi="Times New Roman" w:cs="Times New Roman"/>
          <w:b/>
          <w:bCs/>
          <w:sz w:val="28"/>
          <w:szCs w:val="28"/>
        </w:rPr>
        <w:t>İ</w:t>
      </w:r>
      <w:r w:rsidRPr="007233E8">
        <w:rPr>
          <w:rFonts w:ascii="Times New Roman" w:hAnsi="Times New Roman" w:cs="Times New Roman"/>
          <w:b/>
          <w:bCs/>
          <w:sz w:val="28"/>
          <w:szCs w:val="28"/>
        </w:rPr>
        <w:t xml:space="preserve"> ZEYİLNAMESİ</w:t>
      </w:r>
    </w:p>
    <w:p w14:paraId="0E07D598" w14:textId="77777777" w:rsidR="003629B4" w:rsidRDefault="003629B4" w:rsidP="00CD5CE6">
      <w:pPr>
        <w:jc w:val="center"/>
        <w:rPr>
          <w:rFonts w:ascii="Times New Roman" w:hAnsi="Times New Roman" w:cs="Times New Roman"/>
          <w:b/>
          <w:bCs/>
        </w:rPr>
      </w:pPr>
    </w:p>
    <w:p w14:paraId="2683F9DE" w14:textId="16A4D768" w:rsidR="003629B4" w:rsidRPr="003629B4" w:rsidRDefault="003629B4" w:rsidP="00CD5CE6">
      <w:pPr>
        <w:jc w:val="center"/>
        <w:rPr>
          <w:rFonts w:ascii="Times New Roman" w:hAnsi="Times New Roman" w:cs="Times New Roman"/>
          <w:b/>
          <w:bCs/>
        </w:rPr>
      </w:pPr>
    </w:p>
    <w:p w14:paraId="049D18B6" w14:textId="38D643DA" w:rsidR="00CD5CE6" w:rsidRDefault="00CD5CE6" w:rsidP="00CD5CE6">
      <w:pPr>
        <w:jc w:val="center"/>
      </w:pPr>
    </w:p>
    <w:p w14:paraId="0EF5CE40" w14:textId="77777777" w:rsidR="00D3744B" w:rsidRPr="007233E8" w:rsidRDefault="00D3744B" w:rsidP="00CD5CE6">
      <w:pPr>
        <w:jc w:val="center"/>
        <w:rPr>
          <w:rFonts w:ascii="Times New Roman" w:hAnsi="Times New Roman" w:cs="Times New Roman"/>
          <w:sz w:val="24"/>
          <w:szCs w:val="24"/>
        </w:rPr>
      </w:pPr>
    </w:p>
    <w:p w14:paraId="0F904D5B" w14:textId="0C292773" w:rsidR="00312BA2" w:rsidRPr="007233E8" w:rsidRDefault="00312BA2" w:rsidP="00312BA2">
      <w:pPr>
        <w:pStyle w:val="ListeParagraf"/>
        <w:numPr>
          <w:ilvl w:val="0"/>
          <w:numId w:val="1"/>
        </w:numPr>
        <w:spacing w:before="120" w:after="120" w:line="276" w:lineRule="auto"/>
        <w:rPr>
          <w:rFonts w:ascii="Times New Roman" w:hAnsi="Times New Roman" w:cs="Times New Roman"/>
          <w:b/>
          <w:bCs/>
          <w:sz w:val="24"/>
          <w:szCs w:val="24"/>
        </w:rPr>
      </w:pPr>
      <w:r w:rsidRPr="007233E8">
        <w:rPr>
          <w:rFonts w:ascii="Times New Roman" w:hAnsi="Times New Roman" w:cs="Times New Roman"/>
          <w:b/>
          <w:bCs/>
          <w:sz w:val="24"/>
          <w:szCs w:val="24"/>
        </w:rPr>
        <w:t>Başvuru Rehberi Bölüm “</w:t>
      </w:r>
      <w:r>
        <w:rPr>
          <w:rFonts w:ascii="Times New Roman" w:hAnsi="Times New Roman" w:cs="Times New Roman"/>
          <w:b/>
          <w:bCs/>
          <w:sz w:val="24"/>
          <w:szCs w:val="24"/>
        </w:rPr>
        <w:t>4</w:t>
      </w:r>
      <w:r w:rsidRPr="007233E8">
        <w:rPr>
          <w:rFonts w:ascii="Times New Roman" w:hAnsi="Times New Roman" w:cs="Times New Roman"/>
          <w:b/>
          <w:bCs/>
          <w:sz w:val="24"/>
          <w:szCs w:val="24"/>
        </w:rPr>
        <w:t>.</w:t>
      </w:r>
      <w:r w:rsidRPr="00312BA2">
        <w:t xml:space="preserve"> </w:t>
      </w:r>
      <w:r w:rsidRPr="00312BA2">
        <w:rPr>
          <w:rFonts w:ascii="Times New Roman" w:hAnsi="Times New Roman" w:cs="Times New Roman"/>
          <w:b/>
          <w:bCs/>
          <w:sz w:val="24"/>
          <w:szCs w:val="24"/>
        </w:rPr>
        <w:t>Bölgesel Girişim Sermayesi Fonu Başvuru ve Destekleme Esasları</w:t>
      </w:r>
      <w:r w:rsidRPr="007233E8">
        <w:rPr>
          <w:rFonts w:ascii="Times New Roman" w:hAnsi="Times New Roman" w:cs="Times New Roman"/>
          <w:b/>
          <w:bCs/>
          <w:sz w:val="24"/>
          <w:szCs w:val="24"/>
        </w:rPr>
        <w:t>”:</w:t>
      </w:r>
    </w:p>
    <w:p w14:paraId="2DF45528" w14:textId="77777777" w:rsidR="00312BA2" w:rsidRPr="007233E8" w:rsidRDefault="00312BA2" w:rsidP="00312BA2">
      <w:pPr>
        <w:spacing w:before="120" w:after="120" w:line="276" w:lineRule="auto"/>
        <w:rPr>
          <w:rFonts w:ascii="Times New Roman" w:hAnsi="Times New Roman" w:cs="Times New Roman"/>
          <w:sz w:val="24"/>
          <w:szCs w:val="24"/>
        </w:rPr>
      </w:pPr>
    </w:p>
    <w:p w14:paraId="1173A2BF" w14:textId="52714E2A" w:rsidR="00312BA2" w:rsidRPr="00F7307E" w:rsidRDefault="00312BA2" w:rsidP="00312BA2">
      <w:pPr>
        <w:pStyle w:val="ListeParagraf"/>
        <w:numPr>
          <w:ilvl w:val="0"/>
          <w:numId w:val="7"/>
        </w:numPr>
        <w:spacing w:before="120" w:after="120" w:line="276" w:lineRule="auto"/>
        <w:jc w:val="both"/>
        <w:rPr>
          <w:rFonts w:ascii="Times New Roman" w:hAnsi="Times New Roman" w:cs="Times New Roman"/>
          <w:sz w:val="24"/>
          <w:szCs w:val="24"/>
        </w:rPr>
      </w:pPr>
      <w:r w:rsidRPr="00F7307E">
        <w:rPr>
          <w:rFonts w:ascii="Times New Roman" w:hAnsi="Times New Roman" w:cs="Times New Roman"/>
          <w:b/>
          <w:bCs/>
          <w:sz w:val="24"/>
          <w:szCs w:val="24"/>
        </w:rPr>
        <w:t>Eski hali:</w:t>
      </w:r>
      <w:r w:rsidRPr="00F7307E">
        <w:rPr>
          <w:rFonts w:ascii="Times New Roman" w:hAnsi="Times New Roman" w:cs="Times New Roman"/>
          <w:sz w:val="24"/>
          <w:szCs w:val="24"/>
        </w:rPr>
        <w:t xml:space="preserve"> “</w:t>
      </w:r>
      <w:r w:rsidRPr="00312BA2">
        <w:rPr>
          <w:rFonts w:ascii="Times New Roman" w:hAnsi="Times New Roman" w:cs="Times New Roman"/>
          <w:sz w:val="24"/>
          <w:szCs w:val="24"/>
        </w:rPr>
        <w:t>Bu program kapsamında bir fon yöneticisi, en fazla (1) bir başvuruda bulunabilir. Diğer yatırımcılar birden fazla fona yatırımcı olabilirler</w:t>
      </w:r>
      <w:r w:rsidRPr="00F7307E">
        <w:rPr>
          <w:rFonts w:ascii="Times New Roman" w:hAnsi="Times New Roman" w:cs="Times New Roman"/>
          <w:sz w:val="24"/>
          <w:szCs w:val="24"/>
        </w:rPr>
        <w:t>”</w:t>
      </w:r>
    </w:p>
    <w:p w14:paraId="1C372A3E" w14:textId="276FF94B" w:rsidR="00312BA2" w:rsidRDefault="00312BA2" w:rsidP="00312BA2">
      <w:pPr>
        <w:pStyle w:val="ListeParagraf"/>
        <w:numPr>
          <w:ilvl w:val="0"/>
          <w:numId w:val="7"/>
        </w:numPr>
        <w:spacing w:before="120" w:after="120" w:line="276" w:lineRule="auto"/>
        <w:jc w:val="both"/>
        <w:rPr>
          <w:rFonts w:ascii="Times New Roman" w:hAnsi="Times New Roman" w:cs="Times New Roman"/>
          <w:sz w:val="24"/>
          <w:szCs w:val="24"/>
        </w:rPr>
      </w:pPr>
      <w:r w:rsidRPr="00416DF0">
        <w:rPr>
          <w:rFonts w:ascii="Times New Roman" w:hAnsi="Times New Roman" w:cs="Times New Roman"/>
          <w:b/>
          <w:bCs/>
          <w:sz w:val="24"/>
          <w:szCs w:val="24"/>
        </w:rPr>
        <w:t>Yeni hali</w:t>
      </w:r>
      <w:r w:rsidRPr="00416DF0">
        <w:rPr>
          <w:rFonts w:ascii="Times New Roman" w:hAnsi="Times New Roman" w:cs="Times New Roman"/>
          <w:sz w:val="24"/>
          <w:szCs w:val="24"/>
        </w:rPr>
        <w:t xml:space="preserve"> “</w:t>
      </w:r>
      <w:r w:rsidR="00163E96" w:rsidRPr="00163E96">
        <w:rPr>
          <w:rFonts w:ascii="Times New Roman" w:hAnsi="Times New Roman" w:cs="Times New Roman"/>
          <w:sz w:val="24"/>
          <w:szCs w:val="24"/>
        </w:rPr>
        <w:t>Bu program kapsamında bir fon yöneticisi, en fazla bir (1) başvuruda bulunabilir. Fon yöneticileri ve fon yönetim ekibi (fonun yatırım kararı almasından, yatırımların yönetilmesinden ve yatırımlardan çıkış kararı verilmesinden sorumlu olan kişilerdir) farklı olmak kaydıyla bir portföy yönetim şirketi birden fazla fon başvurusunda yer alabilir. Diğer yatırımcılar birden fazla fona yatırımcı olabilirler.</w:t>
      </w:r>
      <w:r w:rsidRPr="007233E8">
        <w:rPr>
          <w:rFonts w:ascii="Times New Roman" w:hAnsi="Times New Roman" w:cs="Times New Roman"/>
          <w:sz w:val="24"/>
          <w:szCs w:val="24"/>
        </w:rPr>
        <w:t>”</w:t>
      </w:r>
    </w:p>
    <w:p w14:paraId="41CDCF23" w14:textId="77777777" w:rsidR="00312BA2" w:rsidRDefault="00312BA2" w:rsidP="003C00EA">
      <w:pPr>
        <w:pStyle w:val="ListeParagraf"/>
        <w:spacing w:before="120" w:after="120" w:line="276" w:lineRule="auto"/>
        <w:ind w:left="360"/>
        <w:rPr>
          <w:rFonts w:ascii="Times New Roman" w:hAnsi="Times New Roman" w:cs="Times New Roman"/>
          <w:b/>
          <w:bCs/>
          <w:sz w:val="24"/>
          <w:szCs w:val="24"/>
        </w:rPr>
      </w:pPr>
    </w:p>
    <w:p w14:paraId="5398A8E8" w14:textId="2B0389E5" w:rsidR="00312BA2" w:rsidRPr="007233E8" w:rsidRDefault="00312BA2" w:rsidP="00312BA2">
      <w:pPr>
        <w:pStyle w:val="ListeParagraf"/>
        <w:numPr>
          <w:ilvl w:val="0"/>
          <w:numId w:val="1"/>
        </w:numPr>
        <w:spacing w:before="120" w:after="120" w:line="276" w:lineRule="auto"/>
        <w:rPr>
          <w:rFonts w:ascii="Times New Roman" w:hAnsi="Times New Roman" w:cs="Times New Roman"/>
          <w:b/>
          <w:bCs/>
          <w:sz w:val="24"/>
          <w:szCs w:val="24"/>
        </w:rPr>
      </w:pPr>
      <w:r w:rsidRPr="007233E8">
        <w:rPr>
          <w:rFonts w:ascii="Times New Roman" w:hAnsi="Times New Roman" w:cs="Times New Roman"/>
          <w:b/>
          <w:bCs/>
          <w:sz w:val="24"/>
          <w:szCs w:val="24"/>
        </w:rPr>
        <w:t>Başvuru Rehberi Bölüm “</w:t>
      </w:r>
      <w:r>
        <w:rPr>
          <w:rFonts w:ascii="Times New Roman" w:hAnsi="Times New Roman" w:cs="Times New Roman"/>
          <w:b/>
          <w:bCs/>
          <w:sz w:val="24"/>
          <w:szCs w:val="24"/>
        </w:rPr>
        <w:t>4</w:t>
      </w:r>
      <w:r w:rsidRPr="007233E8">
        <w:rPr>
          <w:rFonts w:ascii="Times New Roman" w:hAnsi="Times New Roman" w:cs="Times New Roman"/>
          <w:b/>
          <w:bCs/>
          <w:sz w:val="24"/>
          <w:szCs w:val="24"/>
        </w:rPr>
        <w:t>.</w:t>
      </w:r>
      <w:r>
        <w:rPr>
          <w:rFonts w:ascii="Times New Roman" w:hAnsi="Times New Roman" w:cs="Times New Roman"/>
          <w:b/>
          <w:bCs/>
          <w:sz w:val="24"/>
          <w:szCs w:val="24"/>
        </w:rPr>
        <w:t xml:space="preserve">1 </w:t>
      </w:r>
      <w:r w:rsidRPr="00312BA2">
        <w:rPr>
          <w:rFonts w:ascii="Times New Roman" w:hAnsi="Times New Roman" w:cs="Times New Roman"/>
          <w:b/>
          <w:bCs/>
          <w:sz w:val="24"/>
          <w:szCs w:val="24"/>
        </w:rPr>
        <w:t>Program Uygulama Süresi ve Yeri</w:t>
      </w:r>
      <w:r w:rsidRPr="007233E8">
        <w:rPr>
          <w:rFonts w:ascii="Times New Roman" w:hAnsi="Times New Roman" w:cs="Times New Roman"/>
          <w:b/>
          <w:bCs/>
          <w:sz w:val="24"/>
          <w:szCs w:val="24"/>
        </w:rPr>
        <w:t>”:</w:t>
      </w:r>
    </w:p>
    <w:p w14:paraId="2294BF39" w14:textId="77777777" w:rsidR="00312BA2" w:rsidRPr="007233E8" w:rsidRDefault="00312BA2" w:rsidP="00312BA2">
      <w:pPr>
        <w:spacing w:before="120" w:after="120" w:line="276" w:lineRule="auto"/>
        <w:rPr>
          <w:rFonts w:ascii="Times New Roman" w:hAnsi="Times New Roman" w:cs="Times New Roman"/>
          <w:sz w:val="24"/>
          <w:szCs w:val="24"/>
        </w:rPr>
      </w:pPr>
    </w:p>
    <w:p w14:paraId="3F78B99C" w14:textId="77777777" w:rsidR="00312BA2" w:rsidRPr="00F7307E" w:rsidRDefault="00312BA2" w:rsidP="00312BA2">
      <w:pPr>
        <w:pStyle w:val="ListeParagraf"/>
        <w:numPr>
          <w:ilvl w:val="0"/>
          <w:numId w:val="7"/>
        </w:numPr>
        <w:spacing w:before="120" w:after="120" w:line="276" w:lineRule="auto"/>
        <w:jc w:val="both"/>
        <w:rPr>
          <w:rFonts w:ascii="Times New Roman" w:hAnsi="Times New Roman" w:cs="Times New Roman"/>
          <w:sz w:val="24"/>
          <w:szCs w:val="24"/>
        </w:rPr>
      </w:pPr>
      <w:r w:rsidRPr="00F7307E">
        <w:rPr>
          <w:rFonts w:ascii="Times New Roman" w:hAnsi="Times New Roman" w:cs="Times New Roman"/>
          <w:b/>
          <w:bCs/>
          <w:sz w:val="24"/>
          <w:szCs w:val="24"/>
        </w:rPr>
        <w:t>Eski hali:</w:t>
      </w:r>
      <w:r w:rsidRPr="00F7307E">
        <w:rPr>
          <w:rFonts w:ascii="Times New Roman" w:hAnsi="Times New Roman" w:cs="Times New Roman"/>
          <w:sz w:val="24"/>
          <w:szCs w:val="24"/>
        </w:rPr>
        <w:t xml:space="preserve"> “</w:t>
      </w:r>
      <w:r w:rsidRPr="00312BA2">
        <w:rPr>
          <w:rFonts w:ascii="Times New Roman" w:hAnsi="Times New Roman" w:cs="Times New Roman"/>
          <w:sz w:val="24"/>
          <w:szCs w:val="24"/>
        </w:rPr>
        <w:t>Program süresi, yatırım dönemi azami 5 yıl, çıkış dönemi azami 5 yıl olmak üzere toplam 10 yıldır. Bu süre, yatırım sözleşmesinin imzalandığı gün itibarıyla başlar. Süre uzatımına ilişkin hususlar yatırım sözleşmesinde belirlenir.</w:t>
      </w:r>
      <w:r w:rsidRPr="00F7307E">
        <w:rPr>
          <w:rFonts w:ascii="Times New Roman" w:hAnsi="Times New Roman" w:cs="Times New Roman"/>
          <w:sz w:val="24"/>
          <w:szCs w:val="24"/>
        </w:rPr>
        <w:t>”</w:t>
      </w:r>
    </w:p>
    <w:p w14:paraId="15756F97" w14:textId="073AF50A" w:rsidR="00312BA2" w:rsidRDefault="00312BA2" w:rsidP="00312BA2">
      <w:pPr>
        <w:pStyle w:val="ListeParagraf"/>
        <w:numPr>
          <w:ilvl w:val="0"/>
          <w:numId w:val="7"/>
        </w:numPr>
        <w:spacing w:before="120" w:after="120" w:line="276" w:lineRule="auto"/>
        <w:jc w:val="both"/>
        <w:rPr>
          <w:rFonts w:ascii="Times New Roman" w:hAnsi="Times New Roman" w:cs="Times New Roman"/>
          <w:sz w:val="24"/>
          <w:szCs w:val="24"/>
        </w:rPr>
      </w:pPr>
      <w:r w:rsidRPr="007233E8">
        <w:rPr>
          <w:rFonts w:ascii="Times New Roman" w:hAnsi="Times New Roman" w:cs="Times New Roman"/>
          <w:b/>
          <w:bCs/>
          <w:sz w:val="24"/>
          <w:szCs w:val="24"/>
        </w:rPr>
        <w:t>Yeni hali</w:t>
      </w:r>
      <w:r w:rsidRPr="007233E8">
        <w:rPr>
          <w:rFonts w:ascii="Times New Roman" w:hAnsi="Times New Roman" w:cs="Times New Roman"/>
          <w:sz w:val="24"/>
          <w:szCs w:val="24"/>
        </w:rPr>
        <w:t xml:space="preserve"> “</w:t>
      </w:r>
      <w:r w:rsidRPr="00312BA2">
        <w:rPr>
          <w:rFonts w:ascii="Times New Roman" w:hAnsi="Times New Roman" w:cs="Times New Roman"/>
          <w:sz w:val="24"/>
          <w:szCs w:val="24"/>
        </w:rPr>
        <w:t xml:space="preserve">Program süresi, yatırım dönemi azami 5 yıl, çıkış dönemi azami 5 yıl olmak üzere toplam 10 yıldır. Bu süre, yatırım sözleşmesinin imzalandığı </w:t>
      </w:r>
      <w:r w:rsidRPr="00416DF0">
        <w:rPr>
          <w:rFonts w:ascii="Times New Roman" w:hAnsi="Times New Roman" w:cs="Times New Roman"/>
          <w:sz w:val="24"/>
          <w:szCs w:val="24"/>
        </w:rPr>
        <w:t xml:space="preserve">gün itibarıyla başlar. Çıkış döneminde, </w:t>
      </w:r>
      <w:r w:rsidR="003C00EA" w:rsidRPr="00416DF0">
        <w:rPr>
          <w:rFonts w:ascii="Times New Roman" w:hAnsi="Times New Roman" w:cs="Times New Roman"/>
          <w:sz w:val="24"/>
          <w:szCs w:val="24"/>
        </w:rPr>
        <w:t xml:space="preserve">fon tarafından </w:t>
      </w:r>
      <w:r w:rsidRPr="00416DF0">
        <w:rPr>
          <w:rFonts w:ascii="Times New Roman" w:hAnsi="Times New Roman" w:cs="Times New Roman"/>
          <w:sz w:val="24"/>
          <w:szCs w:val="24"/>
        </w:rPr>
        <w:t>yatırım döneminde yatırım yapılmış olan girişimlere devam yatırımı yapılabilir ama yeni yatırım yapılamaz. Süre</w:t>
      </w:r>
      <w:r w:rsidRPr="00312BA2">
        <w:rPr>
          <w:rFonts w:ascii="Times New Roman" w:hAnsi="Times New Roman" w:cs="Times New Roman"/>
          <w:sz w:val="24"/>
          <w:szCs w:val="24"/>
        </w:rPr>
        <w:t xml:space="preserve"> uzatımına ilişkin hususlar yatırım sözleşmesinde belirlenir</w:t>
      </w:r>
      <w:r>
        <w:rPr>
          <w:rFonts w:ascii="Times New Roman" w:hAnsi="Times New Roman" w:cs="Times New Roman"/>
          <w:sz w:val="24"/>
          <w:szCs w:val="24"/>
        </w:rPr>
        <w:t>.</w:t>
      </w:r>
      <w:r w:rsidRPr="007233E8">
        <w:rPr>
          <w:rFonts w:ascii="Times New Roman" w:hAnsi="Times New Roman" w:cs="Times New Roman"/>
          <w:sz w:val="24"/>
          <w:szCs w:val="24"/>
        </w:rPr>
        <w:t>”</w:t>
      </w:r>
    </w:p>
    <w:p w14:paraId="12603BA0" w14:textId="77777777" w:rsidR="00312BA2" w:rsidRDefault="00312BA2" w:rsidP="00312BA2">
      <w:pPr>
        <w:pStyle w:val="ListeParagraf"/>
        <w:spacing w:before="120" w:after="120" w:line="276" w:lineRule="auto"/>
        <w:ind w:left="1800"/>
        <w:jc w:val="both"/>
        <w:rPr>
          <w:rFonts w:ascii="Times New Roman" w:hAnsi="Times New Roman" w:cs="Times New Roman"/>
          <w:sz w:val="24"/>
          <w:szCs w:val="24"/>
        </w:rPr>
      </w:pPr>
    </w:p>
    <w:p w14:paraId="13D65E49" w14:textId="77777777" w:rsidR="007233E8" w:rsidRPr="007233E8" w:rsidRDefault="007233E8" w:rsidP="007233E8">
      <w:pPr>
        <w:pStyle w:val="ListeParagraf"/>
        <w:numPr>
          <w:ilvl w:val="0"/>
          <w:numId w:val="1"/>
        </w:numPr>
        <w:spacing w:before="120" w:after="120" w:line="276" w:lineRule="auto"/>
        <w:rPr>
          <w:rFonts w:ascii="Times New Roman" w:hAnsi="Times New Roman" w:cs="Times New Roman"/>
          <w:b/>
          <w:bCs/>
          <w:sz w:val="24"/>
          <w:szCs w:val="24"/>
        </w:rPr>
      </w:pPr>
      <w:r w:rsidRPr="007233E8">
        <w:rPr>
          <w:rFonts w:ascii="Times New Roman" w:hAnsi="Times New Roman" w:cs="Times New Roman"/>
          <w:b/>
          <w:bCs/>
          <w:sz w:val="24"/>
          <w:szCs w:val="24"/>
        </w:rPr>
        <w:t>Başvuru Rehberi Bölüm “4.2 Ortaklıklar ve Ortakların Uygunluğu”:</w:t>
      </w:r>
    </w:p>
    <w:p w14:paraId="21EBE1F9" w14:textId="77777777" w:rsidR="007233E8" w:rsidRPr="007233E8" w:rsidRDefault="007233E8" w:rsidP="007233E8">
      <w:pPr>
        <w:pStyle w:val="ListeParagraf"/>
        <w:numPr>
          <w:ilvl w:val="0"/>
          <w:numId w:val="7"/>
        </w:numPr>
        <w:spacing w:before="120" w:after="120" w:line="276" w:lineRule="auto"/>
        <w:jc w:val="both"/>
        <w:rPr>
          <w:rFonts w:ascii="Times New Roman" w:hAnsi="Times New Roman" w:cs="Times New Roman"/>
          <w:sz w:val="24"/>
          <w:szCs w:val="24"/>
        </w:rPr>
      </w:pPr>
      <w:r w:rsidRPr="007233E8">
        <w:rPr>
          <w:rFonts w:ascii="Times New Roman" w:hAnsi="Times New Roman" w:cs="Times New Roman"/>
          <w:b/>
          <w:bCs/>
          <w:sz w:val="24"/>
          <w:szCs w:val="24"/>
        </w:rPr>
        <w:t>Eski hali:</w:t>
      </w:r>
      <w:r w:rsidRPr="007233E8">
        <w:rPr>
          <w:rFonts w:ascii="Times New Roman" w:hAnsi="Times New Roman" w:cs="Times New Roman"/>
          <w:sz w:val="24"/>
          <w:szCs w:val="24"/>
        </w:rPr>
        <w:t xml:space="preserve"> “Şirketler”</w:t>
      </w:r>
    </w:p>
    <w:p w14:paraId="7148E3EC" w14:textId="2A1D350C" w:rsidR="007233E8" w:rsidRDefault="007233E8" w:rsidP="007233E8">
      <w:pPr>
        <w:pStyle w:val="ListeParagraf"/>
        <w:numPr>
          <w:ilvl w:val="0"/>
          <w:numId w:val="7"/>
        </w:numPr>
        <w:spacing w:before="120" w:after="120" w:line="276" w:lineRule="auto"/>
        <w:jc w:val="both"/>
        <w:rPr>
          <w:rFonts w:ascii="Times New Roman" w:hAnsi="Times New Roman" w:cs="Times New Roman"/>
          <w:sz w:val="24"/>
          <w:szCs w:val="24"/>
        </w:rPr>
      </w:pPr>
      <w:r w:rsidRPr="007233E8">
        <w:rPr>
          <w:rFonts w:ascii="Times New Roman" w:hAnsi="Times New Roman" w:cs="Times New Roman"/>
          <w:b/>
          <w:bCs/>
          <w:sz w:val="24"/>
          <w:szCs w:val="24"/>
        </w:rPr>
        <w:lastRenderedPageBreak/>
        <w:t>Yeni hali</w:t>
      </w:r>
      <w:r w:rsidRPr="007233E8">
        <w:rPr>
          <w:rFonts w:ascii="Times New Roman" w:hAnsi="Times New Roman" w:cs="Times New Roman"/>
          <w:sz w:val="24"/>
          <w:szCs w:val="24"/>
        </w:rPr>
        <w:t xml:space="preserve"> “Şirketler ve diğer gerçek ve tüzel kişiler”</w:t>
      </w:r>
    </w:p>
    <w:p w14:paraId="4628A68A" w14:textId="77777777" w:rsidR="007233E8" w:rsidRPr="007233E8" w:rsidRDefault="007233E8" w:rsidP="007233E8">
      <w:pPr>
        <w:pStyle w:val="ListeParagraf"/>
        <w:spacing w:before="120" w:after="120" w:line="276" w:lineRule="auto"/>
        <w:ind w:left="1800"/>
        <w:jc w:val="both"/>
        <w:rPr>
          <w:rFonts w:ascii="Times New Roman" w:hAnsi="Times New Roman" w:cs="Times New Roman"/>
          <w:sz w:val="24"/>
          <w:szCs w:val="24"/>
        </w:rPr>
      </w:pPr>
    </w:p>
    <w:p w14:paraId="2C169707" w14:textId="1D31955D" w:rsidR="00CD5CE6" w:rsidRDefault="00B97DB5" w:rsidP="00C178E9">
      <w:pPr>
        <w:pStyle w:val="ListeParagraf"/>
        <w:numPr>
          <w:ilvl w:val="0"/>
          <w:numId w:val="1"/>
        </w:numPr>
        <w:spacing w:before="120" w:after="120" w:line="276" w:lineRule="auto"/>
        <w:rPr>
          <w:rFonts w:ascii="Times New Roman" w:hAnsi="Times New Roman" w:cs="Times New Roman"/>
          <w:b/>
          <w:bCs/>
          <w:sz w:val="24"/>
          <w:szCs w:val="24"/>
        </w:rPr>
      </w:pPr>
      <w:bookmarkStart w:id="0" w:name="_Hlk65074157"/>
      <w:r w:rsidRPr="007233E8">
        <w:rPr>
          <w:rFonts w:ascii="Times New Roman" w:hAnsi="Times New Roman" w:cs="Times New Roman"/>
          <w:b/>
          <w:bCs/>
          <w:sz w:val="24"/>
          <w:szCs w:val="24"/>
        </w:rPr>
        <w:t>B</w:t>
      </w:r>
      <w:r w:rsidR="00CD5CE6" w:rsidRPr="007233E8">
        <w:rPr>
          <w:rFonts w:ascii="Times New Roman" w:hAnsi="Times New Roman" w:cs="Times New Roman"/>
          <w:b/>
          <w:bCs/>
          <w:sz w:val="24"/>
          <w:szCs w:val="24"/>
        </w:rPr>
        <w:t xml:space="preserve">aşvuru </w:t>
      </w:r>
      <w:r w:rsidRPr="007233E8">
        <w:rPr>
          <w:rFonts w:ascii="Times New Roman" w:hAnsi="Times New Roman" w:cs="Times New Roman"/>
          <w:b/>
          <w:bCs/>
          <w:sz w:val="24"/>
          <w:szCs w:val="24"/>
        </w:rPr>
        <w:t>R</w:t>
      </w:r>
      <w:r w:rsidR="00CD5CE6" w:rsidRPr="007233E8">
        <w:rPr>
          <w:rFonts w:ascii="Times New Roman" w:hAnsi="Times New Roman" w:cs="Times New Roman"/>
          <w:b/>
          <w:bCs/>
          <w:sz w:val="24"/>
          <w:szCs w:val="24"/>
        </w:rPr>
        <w:t>ehberi</w:t>
      </w:r>
      <w:r w:rsidRPr="007233E8">
        <w:rPr>
          <w:rFonts w:ascii="Times New Roman" w:hAnsi="Times New Roman" w:cs="Times New Roman"/>
          <w:b/>
          <w:bCs/>
          <w:sz w:val="24"/>
          <w:szCs w:val="24"/>
        </w:rPr>
        <w:t xml:space="preserve"> Bölüm “4.3 </w:t>
      </w:r>
      <w:bookmarkStart w:id="1" w:name="_Toc59620536"/>
      <w:r w:rsidRPr="007233E8">
        <w:rPr>
          <w:rFonts w:ascii="Times New Roman" w:hAnsi="Times New Roman" w:cs="Times New Roman"/>
          <w:b/>
          <w:bCs/>
          <w:sz w:val="24"/>
          <w:szCs w:val="24"/>
        </w:rPr>
        <w:t>Girişim Şirketinin ve Yatırımların Uygunluğu</w:t>
      </w:r>
      <w:bookmarkEnd w:id="1"/>
      <w:r w:rsidRPr="007233E8">
        <w:rPr>
          <w:rFonts w:ascii="Times New Roman" w:hAnsi="Times New Roman" w:cs="Times New Roman"/>
          <w:b/>
          <w:bCs/>
          <w:sz w:val="24"/>
          <w:szCs w:val="24"/>
        </w:rPr>
        <w:t>”</w:t>
      </w:r>
      <w:r w:rsidR="00CD5CE6" w:rsidRPr="007233E8">
        <w:rPr>
          <w:rFonts w:ascii="Times New Roman" w:hAnsi="Times New Roman" w:cs="Times New Roman"/>
          <w:b/>
          <w:bCs/>
          <w:sz w:val="24"/>
          <w:szCs w:val="24"/>
        </w:rPr>
        <w:t>:</w:t>
      </w:r>
    </w:p>
    <w:p w14:paraId="123BDDF7" w14:textId="77777777" w:rsidR="00B45DD3" w:rsidRPr="007233E8" w:rsidRDefault="00B45DD3" w:rsidP="00B45DD3">
      <w:pPr>
        <w:pStyle w:val="ListeParagraf"/>
        <w:spacing w:before="120" w:after="120" w:line="276" w:lineRule="auto"/>
        <w:ind w:left="360"/>
        <w:rPr>
          <w:rFonts w:ascii="Times New Roman" w:hAnsi="Times New Roman" w:cs="Times New Roman"/>
          <w:b/>
          <w:bCs/>
          <w:sz w:val="24"/>
          <w:szCs w:val="24"/>
        </w:rPr>
      </w:pPr>
    </w:p>
    <w:p w14:paraId="20623D23" w14:textId="13ABCB0B" w:rsidR="00D516FB" w:rsidRPr="007233E8" w:rsidRDefault="00D516FB" w:rsidP="00B97DB5">
      <w:pPr>
        <w:pStyle w:val="ListeParagraf"/>
        <w:numPr>
          <w:ilvl w:val="0"/>
          <w:numId w:val="6"/>
        </w:numPr>
        <w:spacing w:before="120" w:after="120" w:line="276" w:lineRule="auto"/>
        <w:jc w:val="both"/>
        <w:rPr>
          <w:rFonts w:ascii="Times New Roman" w:hAnsi="Times New Roman" w:cs="Times New Roman"/>
          <w:sz w:val="24"/>
          <w:szCs w:val="24"/>
        </w:rPr>
      </w:pPr>
      <w:r w:rsidRPr="007233E8">
        <w:rPr>
          <w:rFonts w:ascii="Times New Roman" w:hAnsi="Times New Roman" w:cs="Times New Roman"/>
          <w:b/>
          <w:bCs/>
          <w:sz w:val="24"/>
          <w:szCs w:val="24"/>
        </w:rPr>
        <w:t>Eski hali:</w:t>
      </w:r>
      <w:r w:rsidRPr="007233E8">
        <w:rPr>
          <w:rFonts w:ascii="Times New Roman" w:hAnsi="Times New Roman" w:cs="Times New Roman"/>
          <w:sz w:val="24"/>
          <w:szCs w:val="24"/>
        </w:rPr>
        <w:t xml:space="preserve"> “</w:t>
      </w:r>
      <w:r w:rsidR="00655FF4" w:rsidRPr="00163E96">
        <w:rPr>
          <w:rFonts w:ascii="Times New Roman" w:hAnsi="Times New Roman" w:cs="Times New Roman"/>
          <w:sz w:val="24"/>
          <w:szCs w:val="24"/>
        </w:rPr>
        <w:t xml:space="preserve">Yatırım yapılacak girişim şirketlerinin merkezleri, öncelikli olarak Ajansın faaliyet gösterdiği İstanbul’da yer almalıdır. İstanbul merkezli girişimlere asgari olarak ajansın fona katıldığı tutar nispetinde yatırım yapılmalıdır. </w:t>
      </w:r>
      <w:r w:rsidR="00B97DB5" w:rsidRPr="00163E96">
        <w:rPr>
          <w:rFonts w:ascii="Times New Roman" w:hAnsi="Times New Roman" w:cs="Times New Roman"/>
          <w:sz w:val="24"/>
          <w:szCs w:val="24"/>
        </w:rPr>
        <w:t>Fonun ajans payını aşan kısmı ile Türkiye Cumhuriyeti sınırları içindeki kuruluş, şirket, teşebbüs veya işletmelere yatırım yapabilecektir. Bununla birlikte Fon, Türkiye Cumhuriyeti'nde kurulu olmamakla birlikte ve Türkiye’ye taşınmayı taahhüt eden ya da ilgili yatırım kararının alınmasından önceki son mali yıl sonu itibarıyla elde ettiği konsolide gelirlerin en az yüzde ellisini (%50), doğrudan kendisi veya dolaylı olarak en az yüzde ellisine (%50) sahip olduğu şirketler tarafından Türkiye'de gerçekleştirilen faaliyetlerden elde eden kuruluş, şirket, teşebbüs veya işletmelere yatırım yapabilecektir</w:t>
      </w:r>
      <w:r w:rsidR="00B97DB5" w:rsidRPr="007233E8">
        <w:rPr>
          <w:rFonts w:ascii="Times New Roman" w:hAnsi="Times New Roman" w:cs="Times New Roman"/>
          <w:i/>
          <w:iCs/>
          <w:sz w:val="24"/>
          <w:szCs w:val="24"/>
        </w:rPr>
        <w:t>.</w:t>
      </w:r>
      <w:r w:rsidRPr="007233E8">
        <w:rPr>
          <w:rFonts w:ascii="Times New Roman" w:hAnsi="Times New Roman" w:cs="Times New Roman"/>
          <w:i/>
          <w:iCs/>
          <w:sz w:val="24"/>
          <w:szCs w:val="24"/>
        </w:rPr>
        <w:t xml:space="preserve">” </w:t>
      </w:r>
    </w:p>
    <w:p w14:paraId="6A36CB3D" w14:textId="1219068D" w:rsidR="000C71B7" w:rsidRPr="000C71B7" w:rsidRDefault="00D516FB" w:rsidP="007233E8">
      <w:pPr>
        <w:pStyle w:val="ListeParagraf"/>
        <w:numPr>
          <w:ilvl w:val="0"/>
          <w:numId w:val="6"/>
        </w:numPr>
        <w:spacing w:before="120" w:after="120" w:line="276" w:lineRule="auto"/>
        <w:jc w:val="both"/>
        <w:rPr>
          <w:rFonts w:ascii="Times New Roman" w:hAnsi="Times New Roman" w:cs="Times New Roman"/>
          <w:sz w:val="24"/>
          <w:szCs w:val="24"/>
        </w:rPr>
      </w:pPr>
      <w:r w:rsidRPr="007233E8">
        <w:rPr>
          <w:rFonts w:ascii="Times New Roman" w:hAnsi="Times New Roman" w:cs="Times New Roman"/>
          <w:b/>
          <w:bCs/>
          <w:sz w:val="24"/>
          <w:szCs w:val="24"/>
        </w:rPr>
        <w:t>Yeni hali</w:t>
      </w:r>
      <w:r w:rsidRPr="007233E8">
        <w:rPr>
          <w:rFonts w:ascii="Times New Roman" w:hAnsi="Times New Roman" w:cs="Times New Roman"/>
          <w:bCs/>
          <w:sz w:val="24"/>
          <w:szCs w:val="24"/>
        </w:rPr>
        <w:t>:</w:t>
      </w:r>
      <w:r w:rsidRPr="007233E8">
        <w:rPr>
          <w:rFonts w:ascii="Times New Roman" w:hAnsi="Times New Roman" w:cs="Times New Roman"/>
          <w:sz w:val="24"/>
          <w:szCs w:val="24"/>
        </w:rPr>
        <w:t xml:space="preserve"> “</w:t>
      </w:r>
      <w:r w:rsidR="00163E96" w:rsidRPr="00163E96">
        <w:rPr>
          <w:rFonts w:ascii="Times New Roman" w:hAnsi="Times New Roman" w:cs="Times New Roman"/>
          <w:sz w:val="24"/>
          <w:szCs w:val="24"/>
        </w:rPr>
        <w:t xml:space="preserve">Fonların, Ajans taahhüt tutarının asgari iki katını İstanbul’daki girişimlere yatırması gerekmektedir. Bu kuralın uygulanmasında; ilk yatırım anında yatırım yapılacak girişim şirketlerinin merkezlerinin Ajansın faaliyet gösterdiği İstanbul’da yer </w:t>
      </w:r>
      <w:proofErr w:type="gramStart"/>
      <w:r w:rsidR="00163E96" w:rsidRPr="00163E96">
        <w:rPr>
          <w:rFonts w:ascii="Times New Roman" w:hAnsi="Times New Roman" w:cs="Times New Roman"/>
          <w:sz w:val="24"/>
          <w:szCs w:val="24"/>
        </w:rPr>
        <w:t>alması</w:t>
      </w:r>
      <w:proofErr w:type="gramEnd"/>
      <w:r w:rsidR="00163E96" w:rsidRPr="00163E96">
        <w:rPr>
          <w:rFonts w:ascii="Times New Roman" w:hAnsi="Times New Roman" w:cs="Times New Roman"/>
          <w:sz w:val="24"/>
          <w:szCs w:val="24"/>
        </w:rPr>
        <w:t xml:space="preserve"> gerekmektedir.</w:t>
      </w:r>
      <w:r w:rsidR="00163E96" w:rsidRPr="00163E96">
        <w:rPr>
          <w:rFonts w:ascii="Times New Roman" w:hAnsi="Times New Roman" w:cs="Times New Roman"/>
          <w:sz w:val="24"/>
          <w:szCs w:val="24"/>
        </w:rPr>
        <w:t>”</w:t>
      </w:r>
    </w:p>
    <w:bookmarkEnd w:id="0"/>
    <w:p w14:paraId="008B933C" w14:textId="77777777" w:rsidR="000F0C68" w:rsidRPr="000F0C68" w:rsidRDefault="000F0C68" w:rsidP="000F0C68">
      <w:pPr>
        <w:spacing w:before="120" w:after="120" w:line="276" w:lineRule="auto"/>
        <w:jc w:val="both"/>
        <w:rPr>
          <w:rFonts w:ascii="Times New Roman" w:hAnsi="Times New Roman" w:cs="Times New Roman"/>
          <w:sz w:val="24"/>
          <w:szCs w:val="24"/>
        </w:rPr>
      </w:pPr>
    </w:p>
    <w:p w14:paraId="0D5FEF3A" w14:textId="2EA71B12" w:rsidR="00324126" w:rsidRPr="007233E8" w:rsidRDefault="00324126" w:rsidP="00324126">
      <w:pPr>
        <w:pStyle w:val="ListeParagraf"/>
        <w:numPr>
          <w:ilvl w:val="0"/>
          <w:numId w:val="1"/>
        </w:numPr>
        <w:spacing w:before="120" w:after="120" w:line="276" w:lineRule="auto"/>
        <w:rPr>
          <w:rFonts w:ascii="Times New Roman" w:hAnsi="Times New Roman" w:cs="Times New Roman"/>
          <w:b/>
          <w:bCs/>
          <w:sz w:val="24"/>
          <w:szCs w:val="24"/>
        </w:rPr>
      </w:pPr>
      <w:r w:rsidRPr="007233E8">
        <w:rPr>
          <w:rFonts w:ascii="Times New Roman" w:hAnsi="Times New Roman" w:cs="Times New Roman"/>
          <w:b/>
          <w:bCs/>
          <w:sz w:val="24"/>
          <w:szCs w:val="24"/>
        </w:rPr>
        <w:t>Başvuru Rehberi Bölüm “5. Kurulacak Fonlara İlişkin Kurallar”:</w:t>
      </w:r>
    </w:p>
    <w:p w14:paraId="27D54E25" w14:textId="77777777" w:rsidR="00324126" w:rsidRPr="007233E8" w:rsidRDefault="00324126" w:rsidP="00324126">
      <w:pPr>
        <w:spacing w:before="120" w:after="120" w:line="276" w:lineRule="auto"/>
        <w:rPr>
          <w:rFonts w:ascii="Times New Roman" w:hAnsi="Times New Roman" w:cs="Times New Roman"/>
          <w:sz w:val="24"/>
          <w:szCs w:val="24"/>
        </w:rPr>
      </w:pPr>
    </w:p>
    <w:p w14:paraId="137A86AC" w14:textId="09C87BC0" w:rsidR="00D516FB" w:rsidRPr="007233E8" w:rsidRDefault="00D516FB" w:rsidP="00324126">
      <w:pPr>
        <w:pStyle w:val="ListeParagraf"/>
        <w:numPr>
          <w:ilvl w:val="0"/>
          <w:numId w:val="7"/>
        </w:numPr>
        <w:spacing w:before="120" w:after="120" w:line="276" w:lineRule="auto"/>
        <w:jc w:val="both"/>
        <w:rPr>
          <w:rFonts w:ascii="Times New Roman" w:hAnsi="Times New Roman" w:cs="Times New Roman"/>
          <w:sz w:val="24"/>
          <w:szCs w:val="24"/>
        </w:rPr>
      </w:pPr>
      <w:r w:rsidRPr="007233E8">
        <w:rPr>
          <w:rFonts w:ascii="Times New Roman" w:hAnsi="Times New Roman" w:cs="Times New Roman"/>
          <w:b/>
          <w:bCs/>
          <w:sz w:val="24"/>
          <w:szCs w:val="24"/>
        </w:rPr>
        <w:t>Eski hali:</w:t>
      </w:r>
      <w:r w:rsidRPr="007233E8">
        <w:rPr>
          <w:rFonts w:ascii="Times New Roman" w:hAnsi="Times New Roman" w:cs="Times New Roman"/>
          <w:sz w:val="24"/>
          <w:szCs w:val="24"/>
        </w:rPr>
        <w:t xml:space="preserve"> “</w:t>
      </w:r>
      <w:r w:rsidR="00324126" w:rsidRPr="007233E8">
        <w:rPr>
          <w:rFonts w:ascii="Times New Roman" w:hAnsi="Times New Roman" w:cs="Times New Roman"/>
          <w:sz w:val="24"/>
          <w:szCs w:val="24"/>
        </w:rPr>
        <w:t>Fon yönetim giderleri, yatırım döneminde fon büyüklüğünün yıllık %2,5’ini aşamaz, yatırım sonrası dönem için bu oran toplam yatırım büyüklüğü üzerinden hesaplanır. Toplam fon yönetim gideri fon büyüklüğünün %15’ini aşamaz</w:t>
      </w:r>
      <w:r w:rsidR="00F7307E">
        <w:rPr>
          <w:rFonts w:ascii="Times New Roman" w:hAnsi="Times New Roman" w:cs="Times New Roman"/>
          <w:sz w:val="24"/>
          <w:szCs w:val="24"/>
        </w:rPr>
        <w:t>.</w:t>
      </w:r>
      <w:r w:rsidRPr="007233E8">
        <w:rPr>
          <w:rFonts w:ascii="Times New Roman" w:hAnsi="Times New Roman" w:cs="Times New Roman"/>
          <w:sz w:val="24"/>
          <w:szCs w:val="24"/>
        </w:rPr>
        <w:t>”</w:t>
      </w:r>
    </w:p>
    <w:p w14:paraId="6C3914D5" w14:textId="4B7F9A0E" w:rsidR="00262B4A" w:rsidRPr="00416DF0" w:rsidRDefault="00D516FB" w:rsidP="00324126">
      <w:pPr>
        <w:pStyle w:val="ListeParagraf"/>
        <w:numPr>
          <w:ilvl w:val="0"/>
          <w:numId w:val="7"/>
        </w:numPr>
        <w:spacing w:before="120" w:after="120" w:line="276" w:lineRule="auto"/>
        <w:jc w:val="both"/>
        <w:rPr>
          <w:rFonts w:ascii="Times New Roman" w:hAnsi="Times New Roman" w:cs="Times New Roman"/>
          <w:sz w:val="24"/>
          <w:szCs w:val="24"/>
        </w:rPr>
      </w:pPr>
      <w:r w:rsidRPr="00416DF0">
        <w:rPr>
          <w:rFonts w:ascii="Times New Roman" w:hAnsi="Times New Roman" w:cs="Times New Roman"/>
          <w:b/>
          <w:bCs/>
          <w:sz w:val="24"/>
          <w:szCs w:val="24"/>
        </w:rPr>
        <w:t>Yeni hali</w:t>
      </w:r>
      <w:r w:rsidRPr="00416DF0">
        <w:rPr>
          <w:rFonts w:ascii="Times New Roman" w:hAnsi="Times New Roman" w:cs="Times New Roman"/>
          <w:sz w:val="24"/>
          <w:szCs w:val="24"/>
        </w:rPr>
        <w:t xml:space="preserve"> “</w:t>
      </w:r>
      <w:r w:rsidR="00163E96" w:rsidRPr="00163E96">
        <w:rPr>
          <w:rFonts w:ascii="Times New Roman" w:hAnsi="Times New Roman" w:cs="Times New Roman"/>
          <w:sz w:val="24"/>
          <w:szCs w:val="24"/>
        </w:rPr>
        <w:t>Fona ilişkin giderler fon yönetim ücretinden karşılanır. Başvuru sahipleri fondan karşılanacak yönetim ücreti dâhil tüm giderlerin toplam fon değerine göre üst sınırına ve performans ücretine yönelik tekliflerine başvuru dosyasında bulunacak olan Taslak Yatırımcı Sözleşmesi’nde yer verirler. Bu teklifler başvuruların değerlendirilmesinde dikkate alınır.</w:t>
      </w:r>
      <w:r w:rsidR="00163E96" w:rsidRPr="00163E96">
        <w:rPr>
          <w:rFonts w:ascii="Times New Roman" w:hAnsi="Times New Roman" w:cs="Times New Roman"/>
          <w:sz w:val="24"/>
          <w:szCs w:val="24"/>
        </w:rPr>
        <w:t>”</w:t>
      </w:r>
    </w:p>
    <w:p w14:paraId="3F53421F" w14:textId="2FBC6B14" w:rsidR="00B45DD3" w:rsidRDefault="00B45DD3" w:rsidP="00B45DD3">
      <w:pPr>
        <w:spacing w:before="120" w:after="120" w:line="276" w:lineRule="auto"/>
        <w:jc w:val="both"/>
        <w:rPr>
          <w:rFonts w:ascii="Times New Roman" w:hAnsi="Times New Roman" w:cs="Times New Roman"/>
          <w:sz w:val="24"/>
          <w:szCs w:val="24"/>
        </w:rPr>
      </w:pPr>
    </w:p>
    <w:p w14:paraId="6A649DF4" w14:textId="310C829E" w:rsidR="00B45DD3" w:rsidRDefault="00B45DD3" w:rsidP="00B45DD3">
      <w:pPr>
        <w:spacing w:before="120" w:after="120" w:line="276" w:lineRule="auto"/>
        <w:jc w:val="both"/>
        <w:rPr>
          <w:rFonts w:ascii="Times New Roman" w:hAnsi="Times New Roman" w:cs="Times New Roman"/>
          <w:sz w:val="24"/>
          <w:szCs w:val="24"/>
        </w:rPr>
      </w:pPr>
    </w:p>
    <w:p w14:paraId="47FBAD3B" w14:textId="77777777" w:rsidR="00B45DD3" w:rsidRPr="00B45DD3" w:rsidRDefault="00B45DD3" w:rsidP="00B45DD3">
      <w:pPr>
        <w:spacing w:before="120" w:after="120" w:line="276" w:lineRule="auto"/>
        <w:jc w:val="both"/>
        <w:rPr>
          <w:rFonts w:ascii="Times New Roman" w:hAnsi="Times New Roman" w:cs="Times New Roman"/>
          <w:sz w:val="24"/>
          <w:szCs w:val="24"/>
        </w:rPr>
      </w:pPr>
    </w:p>
    <w:p w14:paraId="0A90F4C8" w14:textId="6FB814FD" w:rsidR="00324126" w:rsidRPr="007233E8" w:rsidRDefault="00324126" w:rsidP="00324126">
      <w:pPr>
        <w:pStyle w:val="ListeParagraf"/>
        <w:numPr>
          <w:ilvl w:val="0"/>
          <w:numId w:val="1"/>
        </w:numPr>
        <w:spacing w:before="120" w:after="120" w:line="276" w:lineRule="auto"/>
        <w:rPr>
          <w:rFonts w:ascii="Times New Roman" w:hAnsi="Times New Roman" w:cs="Times New Roman"/>
          <w:b/>
          <w:bCs/>
          <w:sz w:val="24"/>
          <w:szCs w:val="24"/>
        </w:rPr>
      </w:pPr>
      <w:r w:rsidRPr="007233E8">
        <w:rPr>
          <w:rFonts w:ascii="Times New Roman" w:hAnsi="Times New Roman" w:cs="Times New Roman"/>
          <w:b/>
          <w:bCs/>
          <w:sz w:val="24"/>
          <w:szCs w:val="24"/>
        </w:rPr>
        <w:t>Başvuru Rehberi Bölüm “6. Başvuruya İlişkin Genel Esaslar”:</w:t>
      </w:r>
    </w:p>
    <w:p w14:paraId="2CF40400" w14:textId="48BCF3C5" w:rsidR="00262B4A" w:rsidRPr="007233E8" w:rsidRDefault="00262B4A" w:rsidP="00324126">
      <w:pPr>
        <w:pStyle w:val="ListeParagraf"/>
        <w:spacing w:before="120" w:after="120" w:line="276" w:lineRule="auto"/>
        <w:ind w:left="360"/>
        <w:rPr>
          <w:rFonts w:ascii="Times New Roman" w:hAnsi="Times New Roman" w:cs="Times New Roman"/>
          <w:b/>
          <w:bCs/>
          <w:sz w:val="24"/>
          <w:szCs w:val="24"/>
        </w:rPr>
      </w:pPr>
    </w:p>
    <w:p w14:paraId="284A3723" w14:textId="6D09A648" w:rsidR="00262B4A" w:rsidRPr="007233E8" w:rsidRDefault="007233E8" w:rsidP="00324126">
      <w:pPr>
        <w:spacing w:before="120" w:after="120" w:line="276" w:lineRule="auto"/>
        <w:rPr>
          <w:rFonts w:ascii="Times New Roman" w:hAnsi="Times New Roman" w:cs="Times New Roman"/>
          <w:sz w:val="24"/>
          <w:szCs w:val="24"/>
        </w:rPr>
      </w:pPr>
      <w:r w:rsidRPr="007233E8">
        <w:rPr>
          <w:rFonts w:ascii="Times New Roman" w:hAnsi="Times New Roman" w:cs="Times New Roman"/>
          <w:sz w:val="24"/>
          <w:szCs w:val="24"/>
        </w:rPr>
        <w:t>2. Fıkra</w:t>
      </w:r>
      <w:r w:rsidR="00903ED9">
        <w:rPr>
          <w:rFonts w:ascii="Times New Roman" w:hAnsi="Times New Roman" w:cs="Times New Roman"/>
          <w:sz w:val="24"/>
          <w:szCs w:val="24"/>
        </w:rPr>
        <w:t xml:space="preserve">nın sonuna </w:t>
      </w:r>
      <w:r w:rsidR="003C00EA">
        <w:rPr>
          <w:rFonts w:ascii="Times New Roman" w:hAnsi="Times New Roman" w:cs="Times New Roman"/>
          <w:sz w:val="24"/>
          <w:szCs w:val="24"/>
        </w:rPr>
        <w:t xml:space="preserve">aşağıdaki bölüm </w:t>
      </w:r>
      <w:r w:rsidR="00324126" w:rsidRPr="007233E8">
        <w:rPr>
          <w:rFonts w:ascii="Times New Roman" w:hAnsi="Times New Roman" w:cs="Times New Roman"/>
          <w:sz w:val="24"/>
          <w:szCs w:val="24"/>
        </w:rPr>
        <w:t>eklenmiştir.</w:t>
      </w:r>
    </w:p>
    <w:p w14:paraId="15531C1A" w14:textId="77777777" w:rsidR="003C00EA" w:rsidRDefault="009345E9" w:rsidP="00C178E9">
      <w:pPr>
        <w:pStyle w:val="ListeParagraf"/>
        <w:spacing w:before="120" w:after="120" w:line="276" w:lineRule="auto"/>
        <w:ind w:left="1080"/>
        <w:rPr>
          <w:rFonts w:ascii="Times New Roman" w:hAnsi="Times New Roman" w:cs="Times New Roman"/>
          <w:sz w:val="24"/>
          <w:szCs w:val="24"/>
        </w:rPr>
      </w:pPr>
      <w:r w:rsidRPr="007233E8">
        <w:rPr>
          <w:rFonts w:ascii="Times New Roman" w:hAnsi="Times New Roman" w:cs="Times New Roman"/>
          <w:sz w:val="24"/>
          <w:szCs w:val="24"/>
        </w:rPr>
        <w:t>“</w:t>
      </w:r>
      <w:r w:rsidR="007233E8" w:rsidRPr="007233E8">
        <w:rPr>
          <w:rFonts w:ascii="Times New Roman" w:hAnsi="Times New Roman" w:cs="Times New Roman"/>
          <w:sz w:val="24"/>
          <w:szCs w:val="24"/>
        </w:rPr>
        <w:t xml:space="preserve">ı. Taslak Yatırımcı Sözleşmesi </w:t>
      </w:r>
    </w:p>
    <w:p w14:paraId="71F6AF5B" w14:textId="77777777" w:rsidR="00B43781" w:rsidRDefault="00B43781" w:rsidP="003C00EA">
      <w:pPr>
        <w:pStyle w:val="ListeParagraf"/>
        <w:spacing w:before="120" w:after="120" w:line="276" w:lineRule="auto"/>
        <w:ind w:left="1080"/>
        <w:rPr>
          <w:rFonts w:ascii="Times New Roman" w:hAnsi="Times New Roman" w:cs="Times New Roman"/>
          <w:sz w:val="24"/>
          <w:szCs w:val="24"/>
        </w:rPr>
      </w:pPr>
    </w:p>
    <w:p w14:paraId="639F0427" w14:textId="48FB7650" w:rsidR="003C00EA" w:rsidRPr="003C00EA" w:rsidRDefault="003C00EA" w:rsidP="003C00EA">
      <w:pPr>
        <w:pStyle w:val="ListeParagraf"/>
        <w:spacing w:before="120" w:after="120" w:line="276" w:lineRule="auto"/>
        <w:ind w:left="1080"/>
        <w:rPr>
          <w:rFonts w:ascii="Times New Roman" w:hAnsi="Times New Roman" w:cs="Times New Roman"/>
          <w:sz w:val="24"/>
          <w:szCs w:val="24"/>
        </w:rPr>
      </w:pPr>
      <w:r>
        <w:rPr>
          <w:rFonts w:ascii="Times New Roman" w:hAnsi="Times New Roman" w:cs="Times New Roman"/>
          <w:sz w:val="24"/>
          <w:szCs w:val="24"/>
        </w:rPr>
        <w:t xml:space="preserve">Fon </w:t>
      </w:r>
      <w:r w:rsidRPr="003C00EA">
        <w:rPr>
          <w:rFonts w:ascii="Times New Roman" w:hAnsi="Times New Roman" w:cs="Times New Roman"/>
          <w:sz w:val="24"/>
          <w:szCs w:val="24"/>
        </w:rPr>
        <w:t>başvuruları, kapalı zarf içinde taahhütlü posta yoluyla, kargo şirketi ile veya</w:t>
      </w:r>
    </w:p>
    <w:p w14:paraId="55FFD3A0" w14:textId="145589EC" w:rsidR="003C00EA" w:rsidRPr="003C00EA" w:rsidRDefault="003C00EA" w:rsidP="003C00EA">
      <w:pPr>
        <w:pStyle w:val="ListeParagraf"/>
        <w:spacing w:before="120" w:after="120" w:line="276" w:lineRule="auto"/>
        <w:ind w:left="1080"/>
        <w:rPr>
          <w:rFonts w:ascii="Times New Roman" w:hAnsi="Times New Roman" w:cs="Times New Roman"/>
          <w:sz w:val="24"/>
          <w:szCs w:val="24"/>
        </w:rPr>
      </w:pPr>
      <w:proofErr w:type="gramStart"/>
      <w:r w:rsidRPr="003C00EA">
        <w:rPr>
          <w:rFonts w:ascii="Times New Roman" w:hAnsi="Times New Roman" w:cs="Times New Roman"/>
          <w:sz w:val="24"/>
          <w:szCs w:val="24"/>
        </w:rPr>
        <w:t>elden</w:t>
      </w:r>
      <w:proofErr w:type="gramEnd"/>
      <w:r w:rsidRPr="003C00EA">
        <w:rPr>
          <w:rFonts w:ascii="Times New Roman" w:hAnsi="Times New Roman" w:cs="Times New Roman"/>
          <w:sz w:val="24"/>
          <w:szCs w:val="24"/>
        </w:rPr>
        <w:t xml:space="preserve"> aşağıdaki adrese</w:t>
      </w:r>
      <w:r>
        <w:rPr>
          <w:rFonts w:ascii="Times New Roman" w:hAnsi="Times New Roman" w:cs="Times New Roman"/>
          <w:sz w:val="24"/>
          <w:szCs w:val="24"/>
        </w:rPr>
        <w:t xml:space="preserve"> </w:t>
      </w:r>
      <w:r w:rsidRPr="003C00EA">
        <w:rPr>
          <w:rFonts w:ascii="Times New Roman" w:hAnsi="Times New Roman" w:cs="Times New Roman"/>
          <w:sz w:val="24"/>
          <w:szCs w:val="24"/>
        </w:rPr>
        <w:t>yapılır.</w:t>
      </w:r>
    </w:p>
    <w:p w14:paraId="52667472" w14:textId="0A3885C3" w:rsidR="003C00EA" w:rsidRPr="003C00EA" w:rsidRDefault="003C00EA" w:rsidP="003C00EA">
      <w:pPr>
        <w:pStyle w:val="ListeParagraf"/>
        <w:spacing w:before="120" w:after="120" w:line="276" w:lineRule="auto"/>
        <w:ind w:left="1080"/>
        <w:rPr>
          <w:rFonts w:ascii="Times New Roman" w:hAnsi="Times New Roman" w:cs="Times New Roman"/>
          <w:sz w:val="24"/>
          <w:szCs w:val="24"/>
        </w:rPr>
      </w:pPr>
      <w:r w:rsidRPr="003C00EA">
        <w:rPr>
          <w:rFonts w:ascii="Times New Roman" w:hAnsi="Times New Roman" w:cs="Times New Roman"/>
          <w:b/>
          <w:bCs/>
          <w:sz w:val="24"/>
          <w:szCs w:val="24"/>
        </w:rPr>
        <w:t>İstanbul Kalkınma Ajansı</w:t>
      </w:r>
      <w:r w:rsidRPr="003C00EA">
        <w:rPr>
          <w:rFonts w:ascii="Times New Roman" w:hAnsi="Times New Roman" w:cs="Times New Roman"/>
          <w:sz w:val="24"/>
          <w:szCs w:val="24"/>
        </w:rPr>
        <w:t xml:space="preserve">: </w:t>
      </w:r>
      <w:proofErr w:type="spellStart"/>
      <w:r w:rsidRPr="003C00EA">
        <w:rPr>
          <w:rFonts w:ascii="Times New Roman" w:hAnsi="Times New Roman" w:cs="Times New Roman"/>
          <w:sz w:val="24"/>
          <w:szCs w:val="24"/>
        </w:rPr>
        <w:t>Asmalımescit</w:t>
      </w:r>
      <w:proofErr w:type="spellEnd"/>
      <w:r w:rsidRPr="003C00EA">
        <w:rPr>
          <w:rFonts w:ascii="Times New Roman" w:hAnsi="Times New Roman" w:cs="Times New Roman"/>
          <w:sz w:val="24"/>
          <w:szCs w:val="24"/>
        </w:rPr>
        <w:t xml:space="preserve"> Mah. İstiklal Caddesi No:142, </w:t>
      </w:r>
      <w:proofErr w:type="spellStart"/>
      <w:r w:rsidRPr="003C00EA">
        <w:rPr>
          <w:rFonts w:ascii="Times New Roman" w:hAnsi="Times New Roman" w:cs="Times New Roman"/>
          <w:sz w:val="24"/>
          <w:szCs w:val="24"/>
        </w:rPr>
        <w:t>Odakule</w:t>
      </w:r>
      <w:proofErr w:type="spellEnd"/>
      <w:r w:rsidRPr="003C00EA">
        <w:rPr>
          <w:rFonts w:ascii="Times New Roman" w:hAnsi="Times New Roman" w:cs="Times New Roman"/>
          <w:sz w:val="24"/>
          <w:szCs w:val="24"/>
        </w:rPr>
        <w:t xml:space="preserve"> Kat:6-7-8 Beyoğlu 34430 İstanbu</w:t>
      </w:r>
      <w:r>
        <w:rPr>
          <w:rFonts w:ascii="Times New Roman" w:hAnsi="Times New Roman" w:cs="Times New Roman"/>
          <w:sz w:val="24"/>
          <w:szCs w:val="24"/>
        </w:rPr>
        <w:t>l</w:t>
      </w:r>
    </w:p>
    <w:p w14:paraId="486E7752" w14:textId="1029DB8B" w:rsidR="003C00EA" w:rsidRDefault="003C00EA" w:rsidP="003C00EA">
      <w:pPr>
        <w:pStyle w:val="ListeParagraf"/>
        <w:spacing w:before="120" w:after="120" w:line="276" w:lineRule="auto"/>
        <w:ind w:left="1080"/>
        <w:rPr>
          <w:rFonts w:ascii="Times New Roman" w:hAnsi="Times New Roman" w:cs="Times New Roman"/>
          <w:sz w:val="24"/>
          <w:szCs w:val="24"/>
        </w:rPr>
      </w:pPr>
      <w:r w:rsidRPr="003C00EA">
        <w:rPr>
          <w:rFonts w:ascii="Times New Roman" w:hAnsi="Times New Roman" w:cs="Times New Roman"/>
          <w:sz w:val="24"/>
          <w:szCs w:val="24"/>
        </w:rPr>
        <w:t>Başka yollarla (örneğin faks ya da elektronik posta ile) gönderilen ya da başka</w:t>
      </w:r>
      <w:r>
        <w:rPr>
          <w:rFonts w:ascii="Times New Roman" w:hAnsi="Times New Roman" w:cs="Times New Roman"/>
          <w:sz w:val="24"/>
          <w:szCs w:val="24"/>
        </w:rPr>
        <w:t xml:space="preserve"> </w:t>
      </w:r>
      <w:r w:rsidRPr="003C00EA">
        <w:rPr>
          <w:rFonts w:ascii="Times New Roman" w:hAnsi="Times New Roman" w:cs="Times New Roman"/>
          <w:sz w:val="24"/>
          <w:szCs w:val="24"/>
        </w:rPr>
        <w:t xml:space="preserve">adreslere teslim edilen </w:t>
      </w:r>
      <w:r>
        <w:rPr>
          <w:rFonts w:ascii="Times New Roman" w:hAnsi="Times New Roman" w:cs="Times New Roman"/>
          <w:sz w:val="24"/>
          <w:szCs w:val="24"/>
        </w:rPr>
        <w:t>başvurular</w:t>
      </w:r>
      <w:r w:rsidRPr="003C00EA">
        <w:rPr>
          <w:rFonts w:ascii="Times New Roman" w:hAnsi="Times New Roman" w:cs="Times New Roman"/>
          <w:sz w:val="24"/>
          <w:szCs w:val="24"/>
        </w:rPr>
        <w:t xml:space="preserve"> reddedilecektir.</w:t>
      </w:r>
    </w:p>
    <w:p w14:paraId="21536D2C" w14:textId="5CFE8ABD" w:rsidR="00262B4A" w:rsidRDefault="003C00EA" w:rsidP="00C178E9">
      <w:pPr>
        <w:pStyle w:val="ListeParagraf"/>
        <w:spacing w:before="120" w:after="120" w:line="276" w:lineRule="auto"/>
        <w:ind w:left="1080"/>
        <w:rPr>
          <w:rFonts w:ascii="Times New Roman" w:hAnsi="Times New Roman" w:cs="Times New Roman"/>
          <w:sz w:val="24"/>
          <w:szCs w:val="24"/>
        </w:rPr>
      </w:pPr>
      <w:r w:rsidRPr="00903ED9">
        <w:rPr>
          <w:rFonts w:ascii="Times New Roman" w:hAnsi="Times New Roman" w:cs="Times New Roman"/>
          <w:sz w:val="24"/>
          <w:szCs w:val="24"/>
        </w:rPr>
        <w:t xml:space="preserve">Başvuru </w:t>
      </w:r>
      <w:r w:rsidR="00903ED9" w:rsidRPr="00903ED9">
        <w:rPr>
          <w:rFonts w:ascii="Times New Roman" w:hAnsi="Times New Roman" w:cs="Times New Roman"/>
          <w:sz w:val="24"/>
          <w:szCs w:val="24"/>
        </w:rPr>
        <w:t>belgeleri</w:t>
      </w:r>
      <w:r w:rsidRPr="00903ED9">
        <w:rPr>
          <w:rFonts w:ascii="Times New Roman" w:hAnsi="Times New Roman" w:cs="Times New Roman"/>
          <w:sz w:val="24"/>
          <w:szCs w:val="24"/>
        </w:rPr>
        <w:t xml:space="preserve"> </w:t>
      </w:r>
      <w:r w:rsidR="00773121">
        <w:rPr>
          <w:rFonts w:ascii="Times New Roman" w:hAnsi="Times New Roman" w:cs="Times New Roman"/>
          <w:sz w:val="24"/>
          <w:szCs w:val="24"/>
        </w:rPr>
        <w:t xml:space="preserve">ve ekleri </w:t>
      </w:r>
      <w:r w:rsidRPr="00903ED9">
        <w:rPr>
          <w:rFonts w:ascii="Times New Roman" w:hAnsi="Times New Roman" w:cs="Times New Roman"/>
          <w:sz w:val="24"/>
          <w:szCs w:val="24"/>
        </w:rPr>
        <w:t>ayrıca elektronik formatta (CD/DVD</w:t>
      </w:r>
      <w:r w:rsidR="00903ED9" w:rsidRPr="00903ED9">
        <w:rPr>
          <w:rFonts w:ascii="Times New Roman" w:hAnsi="Times New Roman" w:cs="Times New Roman"/>
          <w:sz w:val="24"/>
          <w:szCs w:val="24"/>
        </w:rPr>
        <w:t>/USB</w:t>
      </w:r>
      <w:r w:rsidRPr="00903ED9">
        <w:rPr>
          <w:rFonts w:ascii="Times New Roman" w:hAnsi="Times New Roman" w:cs="Times New Roman"/>
          <w:sz w:val="24"/>
          <w:szCs w:val="24"/>
        </w:rPr>
        <w:t xml:space="preserve"> ortamında) da sunulmalıdır.</w:t>
      </w:r>
      <w:r w:rsidR="009345E9" w:rsidRPr="007233E8">
        <w:rPr>
          <w:rFonts w:ascii="Times New Roman" w:hAnsi="Times New Roman" w:cs="Times New Roman"/>
          <w:sz w:val="24"/>
          <w:szCs w:val="24"/>
        </w:rPr>
        <w:t>”</w:t>
      </w:r>
    </w:p>
    <w:p w14:paraId="42F78631" w14:textId="2CE3EBA1" w:rsidR="007233E8" w:rsidRDefault="007233E8" w:rsidP="00C178E9">
      <w:pPr>
        <w:pStyle w:val="ListeParagraf"/>
        <w:spacing w:before="120" w:after="120" w:line="276" w:lineRule="auto"/>
        <w:ind w:left="1080"/>
        <w:rPr>
          <w:rFonts w:ascii="Times New Roman" w:hAnsi="Times New Roman" w:cs="Times New Roman"/>
        </w:rPr>
      </w:pPr>
    </w:p>
    <w:sectPr w:rsidR="00723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73525"/>
    <w:multiLevelType w:val="hybridMultilevel"/>
    <w:tmpl w:val="2FA683DE"/>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1" w15:restartNumberingAfterBreak="0">
    <w:nsid w:val="170C6F61"/>
    <w:multiLevelType w:val="hybridMultilevel"/>
    <w:tmpl w:val="760ABA8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 w15:restartNumberingAfterBreak="0">
    <w:nsid w:val="208D6ADA"/>
    <w:multiLevelType w:val="hybridMultilevel"/>
    <w:tmpl w:val="F0603F38"/>
    <w:lvl w:ilvl="0" w:tplc="66147D56">
      <w:start w:val="1"/>
      <w:numFmt w:val="decimal"/>
      <w:lvlText w:val="%1."/>
      <w:lvlJc w:val="left"/>
      <w:pPr>
        <w:ind w:left="360" w:hanging="360"/>
      </w:pPr>
      <w:rPr>
        <w:b/>
        <w:bCs/>
      </w:rPr>
    </w:lvl>
    <w:lvl w:ilvl="1" w:tplc="58A29BF2">
      <w:start w:val="1"/>
      <w:numFmt w:val="lowerLetter"/>
      <w:lvlText w:val="%2."/>
      <w:lvlJc w:val="left"/>
      <w:pPr>
        <w:ind w:left="1080" w:hanging="360"/>
      </w:pPr>
      <w:rPr>
        <w:b/>
        <w:bCs/>
      </w:rPr>
    </w:lvl>
    <w:lvl w:ilvl="2" w:tplc="041F0001">
      <w:start w:val="1"/>
      <w:numFmt w:val="bullet"/>
      <w:lvlText w:val=""/>
      <w:lvlJc w:val="left"/>
      <w:pPr>
        <w:ind w:left="1800" w:hanging="180"/>
      </w:pPr>
      <w:rPr>
        <w:rFonts w:ascii="Symbol" w:hAnsi="Symbol" w:hint="default"/>
      </w:r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 w15:restartNumberingAfterBreak="0">
    <w:nsid w:val="24935309"/>
    <w:multiLevelType w:val="hybridMultilevel"/>
    <w:tmpl w:val="9D205394"/>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4" w15:restartNumberingAfterBreak="0">
    <w:nsid w:val="2B8D0B47"/>
    <w:multiLevelType w:val="hybridMultilevel"/>
    <w:tmpl w:val="9FC4BBA0"/>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5" w15:restartNumberingAfterBreak="0">
    <w:nsid w:val="3FE90660"/>
    <w:multiLevelType w:val="hybridMultilevel"/>
    <w:tmpl w:val="C992680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6" w15:restartNumberingAfterBreak="0">
    <w:nsid w:val="75C027D0"/>
    <w:multiLevelType w:val="hybridMultilevel"/>
    <w:tmpl w:val="CBEC9D80"/>
    <w:lvl w:ilvl="0" w:tplc="66147D56">
      <w:start w:val="1"/>
      <w:numFmt w:val="decimal"/>
      <w:lvlText w:val="%1."/>
      <w:lvlJc w:val="left"/>
      <w:pPr>
        <w:ind w:left="360" w:hanging="360"/>
      </w:pPr>
      <w:rPr>
        <w:b/>
        <w:bCs/>
      </w:rPr>
    </w:lvl>
    <w:lvl w:ilvl="1" w:tplc="58A29BF2">
      <w:start w:val="1"/>
      <w:numFmt w:val="lowerLetter"/>
      <w:lvlText w:val="%2."/>
      <w:lvlJc w:val="left"/>
      <w:pPr>
        <w:ind w:left="1080" w:hanging="360"/>
      </w:pPr>
      <w:rPr>
        <w:b/>
        <w:bCs/>
      </w:rPr>
    </w:lvl>
    <w:lvl w:ilvl="2" w:tplc="041F0001">
      <w:start w:val="1"/>
      <w:numFmt w:val="bullet"/>
      <w:lvlText w:val=""/>
      <w:lvlJc w:val="left"/>
      <w:pPr>
        <w:ind w:left="1800" w:hanging="180"/>
      </w:pPr>
      <w:rPr>
        <w:rFonts w:ascii="Symbol" w:hAnsi="Symbol" w:hint="default"/>
      </w:r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6"/>
  </w:num>
  <w:num w:numId="2">
    <w:abstractNumId w:val="4"/>
  </w:num>
  <w:num w:numId="3">
    <w:abstractNumId w:val="0"/>
  </w:num>
  <w:num w:numId="4">
    <w:abstractNumId w:val="3"/>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4A"/>
    <w:rsid w:val="0001379E"/>
    <w:rsid w:val="000812BC"/>
    <w:rsid w:val="000C71B7"/>
    <w:rsid w:val="000F0C68"/>
    <w:rsid w:val="00163E96"/>
    <w:rsid w:val="001A68B0"/>
    <w:rsid w:val="00262B4A"/>
    <w:rsid w:val="00272630"/>
    <w:rsid w:val="002B46E4"/>
    <w:rsid w:val="00312BA2"/>
    <w:rsid w:val="00324126"/>
    <w:rsid w:val="003629B4"/>
    <w:rsid w:val="003C00EA"/>
    <w:rsid w:val="003F1867"/>
    <w:rsid w:val="00416DF0"/>
    <w:rsid w:val="004426C9"/>
    <w:rsid w:val="00567C72"/>
    <w:rsid w:val="00583DAE"/>
    <w:rsid w:val="005E0316"/>
    <w:rsid w:val="00655FF4"/>
    <w:rsid w:val="006A0A70"/>
    <w:rsid w:val="00715507"/>
    <w:rsid w:val="007203A3"/>
    <w:rsid w:val="007233E8"/>
    <w:rsid w:val="00773121"/>
    <w:rsid w:val="00877A74"/>
    <w:rsid w:val="00903ED9"/>
    <w:rsid w:val="009345E9"/>
    <w:rsid w:val="009C4495"/>
    <w:rsid w:val="009D426C"/>
    <w:rsid w:val="009E6BAD"/>
    <w:rsid w:val="00AB7CE3"/>
    <w:rsid w:val="00B3603B"/>
    <w:rsid w:val="00B43781"/>
    <w:rsid w:val="00B45DD3"/>
    <w:rsid w:val="00B97C15"/>
    <w:rsid w:val="00B97DB5"/>
    <w:rsid w:val="00BB1B13"/>
    <w:rsid w:val="00BD45F1"/>
    <w:rsid w:val="00BF2FE9"/>
    <w:rsid w:val="00C1433E"/>
    <w:rsid w:val="00C178E9"/>
    <w:rsid w:val="00CD5CE6"/>
    <w:rsid w:val="00CD5DCE"/>
    <w:rsid w:val="00D3744B"/>
    <w:rsid w:val="00D516FB"/>
    <w:rsid w:val="00D54FCB"/>
    <w:rsid w:val="00D97EFE"/>
    <w:rsid w:val="00E83E63"/>
    <w:rsid w:val="00F72BC2"/>
    <w:rsid w:val="00F7307E"/>
    <w:rsid w:val="00F77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F174D"/>
  <w15:docId w15:val="{F89CCD60-A9FF-489F-9478-918B2CCA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B4A"/>
    <w:pPr>
      <w:spacing w:after="0" w:line="240" w:lineRule="auto"/>
    </w:pPr>
    <w:rPr>
      <w:rFonts w:ascii="Calibri" w:hAnsi="Calibri" w:cs="Calibri"/>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62B4A"/>
    <w:rPr>
      <w:color w:val="0563C1"/>
      <w:u w:val="single"/>
    </w:rPr>
  </w:style>
  <w:style w:type="paragraph" w:styleId="ListeParagraf">
    <w:name w:val="List Paragraph"/>
    <w:basedOn w:val="Normal"/>
    <w:uiPriority w:val="34"/>
    <w:qFormat/>
    <w:rsid w:val="00262B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493627">
      <w:bodyDiv w:val="1"/>
      <w:marLeft w:val="0"/>
      <w:marRight w:val="0"/>
      <w:marTop w:val="0"/>
      <w:marBottom w:val="0"/>
      <w:divBdr>
        <w:top w:val="none" w:sz="0" w:space="0" w:color="auto"/>
        <w:left w:val="none" w:sz="0" w:space="0" w:color="auto"/>
        <w:bottom w:val="none" w:sz="0" w:space="0" w:color="auto"/>
        <w:right w:val="none" w:sz="0" w:space="0" w:color="auto"/>
      </w:divBdr>
    </w:div>
    <w:div w:id="827672234">
      <w:bodyDiv w:val="1"/>
      <w:marLeft w:val="0"/>
      <w:marRight w:val="0"/>
      <w:marTop w:val="0"/>
      <w:marBottom w:val="0"/>
      <w:divBdr>
        <w:top w:val="none" w:sz="0" w:space="0" w:color="auto"/>
        <w:left w:val="none" w:sz="0" w:space="0" w:color="auto"/>
        <w:bottom w:val="none" w:sz="0" w:space="0" w:color="auto"/>
        <w:right w:val="none" w:sz="0" w:space="0" w:color="auto"/>
      </w:divBdr>
      <w:divsChild>
        <w:div w:id="1983146713">
          <w:marLeft w:val="547"/>
          <w:marRight w:val="0"/>
          <w:marTop w:val="0"/>
          <w:marBottom w:val="0"/>
          <w:divBdr>
            <w:top w:val="none" w:sz="0" w:space="0" w:color="auto"/>
            <w:left w:val="none" w:sz="0" w:space="0" w:color="auto"/>
            <w:bottom w:val="none" w:sz="0" w:space="0" w:color="auto"/>
            <w:right w:val="none" w:sz="0" w:space="0" w:color="auto"/>
          </w:divBdr>
        </w:div>
      </w:divsChild>
    </w:div>
    <w:div w:id="144697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611</Words>
  <Characters>3484</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nese</dc:creator>
  <cp:lastModifiedBy>Süleyman Bayezit</cp:lastModifiedBy>
  <cp:revision>3</cp:revision>
  <cp:lastPrinted>2021-02-15T09:21:00Z</cp:lastPrinted>
  <dcterms:created xsi:type="dcterms:W3CDTF">2021-02-17T09:27:00Z</dcterms:created>
  <dcterms:modified xsi:type="dcterms:W3CDTF">2021-02-24T12:52:00Z</dcterms:modified>
</cp:coreProperties>
</file>